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3175" w14:textId="77777777" w:rsidR="00F81FAF" w:rsidRPr="00F81FAF" w:rsidRDefault="00F81FAF" w:rsidP="00F81FAF">
      <w:pPr>
        <w:spacing w:line="360" w:lineRule="auto"/>
        <w:jc w:val="both"/>
        <w:rPr>
          <w:rFonts w:ascii="Invesco Interstate Bold" w:hAnsi="Invesco Interstate Bold"/>
          <w:b/>
          <w:bCs/>
          <w:sz w:val="28"/>
          <w:szCs w:val="28"/>
        </w:rPr>
      </w:pPr>
      <w:r w:rsidRPr="00F81FAF">
        <w:rPr>
          <w:rFonts w:ascii="Invesco Interstate Bold" w:hAnsi="Invesco Interstate Bold"/>
          <w:b/>
          <w:bCs/>
          <w:sz w:val="28"/>
          <w:szCs w:val="28"/>
        </w:rPr>
        <w:t xml:space="preserve">Zhodnocení nedávné volatility v technologickém </w:t>
      </w:r>
      <w:proofErr w:type="gramStart"/>
      <w:r w:rsidRPr="00F81FAF">
        <w:rPr>
          <w:rFonts w:ascii="Invesco Interstate Bold" w:hAnsi="Invesco Interstate Bold"/>
          <w:b/>
          <w:bCs/>
          <w:sz w:val="28"/>
          <w:szCs w:val="28"/>
        </w:rPr>
        <w:t>sektoru - Trhy</w:t>
      </w:r>
      <w:proofErr w:type="gramEnd"/>
      <w:r w:rsidRPr="00F81FAF">
        <w:rPr>
          <w:rFonts w:ascii="Invesco Interstate Bold" w:hAnsi="Invesco Interstate Bold"/>
          <w:b/>
          <w:bCs/>
          <w:sz w:val="28"/>
          <w:szCs w:val="28"/>
        </w:rPr>
        <w:t xml:space="preserve"> korigují očekávání týkající se firemních zisků</w:t>
      </w:r>
    </w:p>
    <w:p w14:paraId="0AF7787E" w14:textId="77777777" w:rsidR="00263C5E" w:rsidRDefault="00263C5E" w:rsidP="00034B4E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7E999E9A" w14:textId="77777777" w:rsidR="00F81FAF" w:rsidRPr="00F81FAF" w:rsidRDefault="00F81FAF" w:rsidP="00F81FAF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 w:rsidRPr="00F81FAF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Co se stalo?</w:t>
      </w:r>
    </w:p>
    <w:p w14:paraId="6E7AD912" w14:textId="77777777" w:rsidR="001B0A44" w:rsidRPr="001B0A44" w:rsidRDefault="001B0A44" w:rsidP="001B0A44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</w:p>
    <w:p w14:paraId="15564906" w14:textId="3C82A315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Zhruba před týdnem zasáhl</w:t>
      </w:r>
      <w:r w:rsidR="00821225">
        <w:rPr>
          <w:rFonts w:ascii="Invesco Interstate Light" w:hAnsi="Invesco Interstate Light"/>
          <w:sz w:val="22"/>
          <w:szCs w:val="22"/>
        </w:rPr>
        <w:t xml:space="preserve"> světové</w:t>
      </w:r>
      <w:r w:rsidRPr="00F81FAF">
        <w:rPr>
          <w:rFonts w:ascii="Invesco Interstate Light" w:hAnsi="Invesco Interstate Light"/>
          <w:sz w:val="22"/>
          <w:szCs w:val="22"/>
        </w:rPr>
        <w:t xml:space="preserve"> akciové trhy výprodej zaměřený především na technologické tituly, který se následně přenesl i na asijské trhy. Index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Nasdaq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100 nejprve oslabil o 4,8 %, zatímco jihokorejský index KOSPI zaznamenal výrazný pokles během následné asijské obchodní seance, tažený zejména korejskými společnostmi profitujícími z investičního tématu umělé inteligence (AI).</w:t>
      </w:r>
    </w:p>
    <w:p w14:paraId="2F9741E4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2A3C1EF5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Spouštěčem byla zřejmě kombinace několika faktorů:</w:t>
      </w:r>
    </w:p>
    <w:p w14:paraId="793980D7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5F7C642F" w14:textId="77777777" w:rsidR="00F81FAF" w:rsidRPr="00F81FAF" w:rsidRDefault="00F81FAF" w:rsidP="00F81FAF">
      <w:pPr>
        <w:numPr>
          <w:ilvl w:val="0"/>
          <w:numId w:val="43"/>
        </w:num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 xml:space="preserve">slabší než očekávané tržby společnosti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Broadcom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, která má významnou expozici na AI, </w:t>
      </w:r>
    </w:p>
    <w:p w14:paraId="421C4E58" w14:textId="77777777" w:rsidR="00F81FAF" w:rsidRPr="00F81FAF" w:rsidRDefault="00F81FAF" w:rsidP="00F81FAF">
      <w:pPr>
        <w:numPr>
          <w:ilvl w:val="0"/>
          <w:numId w:val="43"/>
        </w:num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 xml:space="preserve">lepší než očekávaná zpráva o zaměstnanosti v USA, která vedla k růstu očekávání ohledně úrokových sazeb, a tím i výnosů dluhopisů a nákladů na financování, </w:t>
      </w:r>
    </w:p>
    <w:p w14:paraId="52F655B1" w14:textId="77777777" w:rsidR="00F81FAF" w:rsidRDefault="00F81FAF" w:rsidP="00F81FAF">
      <w:pPr>
        <w:numPr>
          <w:ilvl w:val="0"/>
          <w:numId w:val="43"/>
        </w:num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 xml:space="preserve">možné přesuny u investorů před očekávaným vstupem společnosti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SpaceX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na burzu. </w:t>
      </w:r>
    </w:p>
    <w:p w14:paraId="4FF4BD9E" w14:textId="77777777" w:rsidR="00F81FAF" w:rsidRPr="00F81FAF" w:rsidRDefault="00F81FAF" w:rsidP="00F81FAF">
      <w:pPr>
        <w:spacing w:line="360" w:lineRule="auto"/>
        <w:ind w:left="720"/>
        <w:jc w:val="both"/>
        <w:rPr>
          <w:rFonts w:ascii="Invesco Interstate Light" w:hAnsi="Invesco Interstate Light"/>
          <w:sz w:val="22"/>
          <w:szCs w:val="22"/>
        </w:rPr>
      </w:pPr>
    </w:p>
    <w:p w14:paraId="4F424B54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 xml:space="preserve">Analýza společnosti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ukazuje, že asijské technologické akcie jsou úzce navázány na americký polovodičový cyklus, protože mají stejné dodavatelské řetězce a částečně i stejnou investorskou základnu. To pomáhá vysvětlit prudké pohyby na asijských trzích.</w:t>
      </w:r>
    </w:p>
    <w:p w14:paraId="5CFC8D69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3D50C22A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 w:rsidRPr="00F81FAF">
        <w:rPr>
          <w:rFonts w:ascii="Invesco Interstate Light" w:hAnsi="Invesco Interstate Light"/>
          <w:b/>
          <w:bCs/>
          <w:sz w:val="22"/>
          <w:szCs w:val="22"/>
        </w:rPr>
        <w:t>Pohled analytika</w:t>
      </w:r>
    </w:p>
    <w:p w14:paraId="5C6127DB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46933CE1" w14:textId="1E474BCC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i/>
          <w:iCs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„</w:t>
      </w:r>
      <w:r w:rsidRPr="00F81FAF">
        <w:rPr>
          <w:rFonts w:ascii="Invesco Interstate Light" w:hAnsi="Invesco Interstate Light"/>
          <w:i/>
          <w:iCs/>
          <w:sz w:val="22"/>
          <w:szCs w:val="22"/>
        </w:rPr>
        <w:t>Domníváme se, že jde spíše o krátkodobou korekci přehnaně optimistických očekávání ohledně zisků firem spojených s umělou inteligencí. Polovodičové společnosti v posledních čtvrtletích výrazně posílily, zejména díky velmi silným hospodářským výsledkům. Současný pokles proto vnímáme jako určité vystřízlivění po mimořádně rychlém růstu.</w:t>
      </w:r>
      <w:r>
        <w:rPr>
          <w:rFonts w:ascii="Invesco Interstate Light" w:hAnsi="Invesco Interstate Light"/>
          <w:i/>
          <w:iCs/>
          <w:sz w:val="22"/>
          <w:szCs w:val="22"/>
        </w:rPr>
        <w:t xml:space="preserve"> </w:t>
      </w:r>
      <w:r w:rsidRPr="00F81FAF">
        <w:rPr>
          <w:rFonts w:ascii="Invesco Interstate Light" w:hAnsi="Invesco Interstate Light"/>
          <w:i/>
          <w:iCs/>
          <w:sz w:val="22"/>
          <w:szCs w:val="22"/>
        </w:rPr>
        <w:t>Jak jsme uvedli již dříve, nemyslíme si, že se technologické akcie nacházejí v bublině. Upozorňujeme však, že rostoucí koncentrace trhu do několika málo AI titulů představuje výzvu z hlediska diverzifikace,“</w:t>
      </w:r>
      <w:r w:rsidRPr="00F81FAF">
        <w:rPr>
          <w:rFonts w:ascii="Invesco Interstate Light" w:hAnsi="Invesco Interstate Light"/>
          <w:sz w:val="22"/>
          <w:szCs w:val="22"/>
        </w:rPr>
        <w:t xml:space="preserve"> vysvětluje David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Chao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, globální stratég finančních trhů pro asijsko-pacifický region (bez Japonska), oddělení strategií a investičních analýz společnosti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>.</w:t>
      </w:r>
    </w:p>
    <w:p w14:paraId="19936346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lastRenderedPageBreak/>
        <w:t>V Asii jsou výnosy akciových trhů i celého segmentu rozvíjejících se trhů stále více závislé na několika společnostech z Jižní Koreje a Tchaj-wanu. V USA je koncentrace ještě výraznější – pouhých pět akcií představuje více než čtvrtinu tržní kapitalizace indexu S&amp;P 500.</w:t>
      </w:r>
    </w:p>
    <w:p w14:paraId="44DC6FDE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46543E9C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Podle našeho názoru tato koncentrace zvyšuje citlivost trhu na pohyby omezeného počtu titulů a přispívá k vyšší volatilitě.</w:t>
      </w:r>
    </w:p>
    <w:p w14:paraId="75F57C13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28F2B9C5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Přestože technologické akcie – zejména v USA, Jižní Koreji a na Tchaj-wanu – v posledních letech výrazně vzrostly, jejich ocenění nejsou tak napjatá, jak by se mohlo zdát. Například pětiletý průměr ukazatele P/E indexu MSCI Korea Index činil přibližně 10,5násobek zisků, zatímco nyní se nachází pod úrovní 7násobku, a to díky rekordním firemním ziskům.</w:t>
      </w:r>
    </w:p>
    <w:p w14:paraId="28B4CA29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02CD7EE8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„</w:t>
      </w:r>
      <w:r w:rsidRPr="00F81FAF">
        <w:rPr>
          <w:rFonts w:ascii="Invesco Interstate Light" w:hAnsi="Invesco Interstate Light"/>
          <w:i/>
          <w:iCs/>
          <w:sz w:val="22"/>
          <w:szCs w:val="22"/>
        </w:rPr>
        <w:t>Klíčové je, že výhled pro technologický hardware zůstává nadále příznivý díky značné poptávce vyvolané investicemi do AI infrastruktury. Očekáváme, že globální výstavba datových center poskytujících cloudové a AI výpočetní kapacity bude dále zrychlovat</w:t>
      </w:r>
      <w:r w:rsidRPr="00F81FAF">
        <w:rPr>
          <w:rFonts w:ascii="Invesco Interstate Light" w:hAnsi="Invesco Interstate Light"/>
          <w:sz w:val="22"/>
          <w:szCs w:val="22"/>
        </w:rPr>
        <w:t xml:space="preserve">,“ zdůrazňuje David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Chao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>.</w:t>
      </w:r>
    </w:p>
    <w:p w14:paraId="6511DDE9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208A3092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 w:rsidRPr="00F81FAF">
        <w:rPr>
          <w:rFonts w:ascii="Invesco Interstate Light" w:hAnsi="Invesco Interstate Light"/>
          <w:b/>
          <w:bCs/>
          <w:sz w:val="22"/>
          <w:szCs w:val="22"/>
        </w:rPr>
        <w:t>Jaká jsou rizika?</w:t>
      </w:r>
    </w:p>
    <w:p w14:paraId="03C09D31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707623E9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Hlavní otázkou je, zda současné tempo investic do umělé inteligence a růst zisků, které tyto investice podporují, zůstane dlouhodobě udržitelné.</w:t>
      </w:r>
    </w:p>
    <w:p w14:paraId="7F4C8E70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Rizikem je případné omezení poptávky po AI hardwaru. Negativní scénář počítá s tím, že investice do AI začnou zpomalovat, protože zákazníci v předchozím období objednali více kapacit, než budou skutečně potřebovat.</w:t>
      </w:r>
    </w:p>
    <w:p w14:paraId="37015500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„</w:t>
      </w:r>
      <w:r w:rsidRPr="00F81FAF">
        <w:rPr>
          <w:rFonts w:ascii="Invesco Interstate Light" w:hAnsi="Invesco Interstate Light"/>
          <w:i/>
          <w:iCs/>
          <w:sz w:val="22"/>
          <w:szCs w:val="22"/>
        </w:rPr>
        <w:t xml:space="preserve">Nemyslíme si však, že výsledky jediné společnosti za jedno čtvrtletí představují signál obratu celého odvětví. Samotné výsledky </w:t>
      </w:r>
      <w:proofErr w:type="spellStart"/>
      <w:r w:rsidRPr="00F81FAF">
        <w:rPr>
          <w:rFonts w:ascii="Invesco Interstate Light" w:hAnsi="Invesco Interstate Light"/>
          <w:i/>
          <w:iCs/>
          <w:sz w:val="22"/>
          <w:szCs w:val="22"/>
        </w:rPr>
        <w:t>Broadcomu</w:t>
      </w:r>
      <w:proofErr w:type="spellEnd"/>
      <w:r w:rsidRPr="00F81FAF">
        <w:rPr>
          <w:rFonts w:ascii="Invesco Interstate Light" w:hAnsi="Invesco Interstate Light"/>
          <w:i/>
          <w:iCs/>
          <w:sz w:val="22"/>
          <w:szCs w:val="22"/>
        </w:rPr>
        <w:t xml:space="preserve"> navíc podle našeho názoru zůstaly celkově slušné. Současná situace spíše ukazuje, že očekávání investorů vůči této skupině společností jsou velmi </w:t>
      </w:r>
      <w:proofErr w:type="gramStart"/>
      <w:r w:rsidRPr="00F81FAF">
        <w:rPr>
          <w:rFonts w:ascii="Invesco Interstate Light" w:hAnsi="Invesco Interstate Light"/>
          <w:i/>
          <w:iCs/>
          <w:sz w:val="22"/>
          <w:szCs w:val="22"/>
        </w:rPr>
        <w:t>vysoká</w:t>
      </w:r>
      <w:proofErr w:type="gramEnd"/>
      <w:r w:rsidRPr="00F81FAF">
        <w:rPr>
          <w:rFonts w:ascii="Invesco Interstate Light" w:hAnsi="Invesco Interstate Light"/>
          <w:i/>
          <w:iCs/>
          <w:sz w:val="22"/>
          <w:szCs w:val="22"/>
        </w:rPr>
        <w:t xml:space="preserve"> a i drobné zklamání může vyvolat výraznou reakci trhu</w:t>
      </w:r>
      <w:r w:rsidRPr="00F81FAF">
        <w:rPr>
          <w:rFonts w:ascii="Invesco Interstate Light" w:hAnsi="Invesco Interstate Light"/>
          <w:sz w:val="22"/>
          <w:szCs w:val="22"/>
        </w:rPr>
        <w:t xml:space="preserve">,“ uzavírá David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Chao</w:t>
      </w:r>
      <w:proofErr w:type="spellEnd"/>
    </w:p>
    <w:p w14:paraId="4926B3A5" w14:textId="77777777" w:rsidR="00F81FAF" w:rsidRP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>Z pohledu správy portfolia může investorům pomoci vyšší geografická i sektorová diverzifikace, která by měla zmírnit dopady podobných výkyvů v budoucnu.</w:t>
      </w:r>
    </w:p>
    <w:p w14:paraId="6CC6A831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F81FAF">
        <w:rPr>
          <w:rFonts w:ascii="Invesco Interstate Light" w:hAnsi="Invesco Interstate Light"/>
          <w:sz w:val="22"/>
          <w:szCs w:val="22"/>
        </w:rPr>
        <w:t xml:space="preserve">V České republice mohou zájemci investovat do AI prostřednictvím fondu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Artificial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Intelligence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F81FAF">
        <w:rPr>
          <w:rFonts w:ascii="Invesco Interstate Light" w:hAnsi="Invesco Interstate Light"/>
          <w:sz w:val="22"/>
          <w:szCs w:val="22"/>
        </w:rPr>
        <w:t>Enablers</w:t>
      </w:r>
      <w:proofErr w:type="spellEnd"/>
      <w:r w:rsidRPr="00F81FAF">
        <w:rPr>
          <w:rFonts w:ascii="Invesco Interstate Light" w:hAnsi="Invesco Interstate Light"/>
          <w:sz w:val="22"/>
          <w:szCs w:val="22"/>
        </w:rPr>
        <w:t xml:space="preserve"> UCITS ETF.</w:t>
      </w:r>
    </w:p>
    <w:p w14:paraId="73FC6917" w14:textId="77777777" w:rsidR="00A30037" w:rsidRDefault="00A30037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>
        <w:rPr>
          <w:rFonts w:ascii="Invesco Interstate Light" w:hAnsi="Invesco Interstate Light"/>
          <w:noProof/>
          <w:sz w:val="22"/>
          <w:szCs w:val="22"/>
        </w:rPr>
        <w:lastRenderedPageBreak/>
        <w:drawing>
          <wp:inline distT="0" distB="0" distL="0" distR="0" wp14:anchorId="194FC3D8" wp14:editId="3E68A083">
            <wp:extent cx="6108065" cy="2667000"/>
            <wp:effectExtent l="0" t="0" r="6985" b="0"/>
            <wp:docPr id="6637437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3736" name="Obrázek 6637437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2C7EB" w14:textId="77777777" w:rsidR="00AE597C" w:rsidRPr="00A30037" w:rsidRDefault="00AE597C" w:rsidP="00AE597C">
      <w:pPr>
        <w:spacing w:line="360" w:lineRule="auto"/>
        <w:jc w:val="both"/>
        <w:rPr>
          <w:rFonts w:ascii="Invesco Interstate Light" w:hAnsi="Invesco Interstate Light"/>
          <w:sz w:val="20"/>
          <w:szCs w:val="20"/>
        </w:rPr>
      </w:pPr>
      <w:r w:rsidRPr="00A30037">
        <w:rPr>
          <w:rFonts w:ascii="Invesco Interstate Light" w:hAnsi="Invesco Interstate Light"/>
          <w:sz w:val="20"/>
          <w:szCs w:val="20"/>
        </w:rPr>
        <w:t xml:space="preserve">Zdroj: </w:t>
      </w:r>
      <w:proofErr w:type="spellStart"/>
      <w:r w:rsidRPr="00A30037">
        <w:rPr>
          <w:rFonts w:ascii="Invesco Interstate Light" w:hAnsi="Invesco Interstate Light"/>
          <w:sz w:val="20"/>
          <w:szCs w:val="20"/>
        </w:rPr>
        <w:t>Invesco</w:t>
      </w:r>
      <w:proofErr w:type="spellEnd"/>
      <w:r w:rsidRPr="00A30037">
        <w:rPr>
          <w:rFonts w:ascii="Invesco Interstate Light" w:hAnsi="Invesco Interstate Light"/>
          <w:sz w:val="20"/>
          <w:szCs w:val="20"/>
        </w:rPr>
        <w:t xml:space="preserve"> </w:t>
      </w:r>
    </w:p>
    <w:p w14:paraId="7F94C7D2" w14:textId="77777777" w:rsidR="00AE597C" w:rsidRDefault="00AE597C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1C2F452E" w14:textId="77777777" w:rsidR="00F81FAF" w:rsidRDefault="00F81FAF" w:rsidP="00F81FAF">
      <w:pPr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</w:p>
    <w:p w14:paraId="1EAA8984" w14:textId="7A89E9E1" w:rsidR="00A30037" w:rsidRDefault="00A30037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noProof/>
          <w:sz w:val="22"/>
          <w:szCs w:val="22"/>
        </w:rPr>
        <w:drawing>
          <wp:inline distT="0" distB="0" distL="0" distR="0" wp14:anchorId="17DE5813" wp14:editId="1AA517E0">
            <wp:extent cx="6108065" cy="2619375"/>
            <wp:effectExtent l="0" t="0" r="6985" b="9525"/>
            <wp:docPr id="130935432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54322" name="Obrázek 13093543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21B2" w14:textId="77777777" w:rsidR="00AE597C" w:rsidRPr="00A30037" w:rsidRDefault="00AE597C" w:rsidP="00AE597C">
      <w:pPr>
        <w:spacing w:line="360" w:lineRule="auto"/>
        <w:jc w:val="both"/>
        <w:rPr>
          <w:rFonts w:ascii="Invesco Interstate Light" w:hAnsi="Invesco Interstate Light"/>
          <w:sz w:val="20"/>
          <w:szCs w:val="20"/>
        </w:rPr>
      </w:pPr>
      <w:r w:rsidRPr="00A30037">
        <w:rPr>
          <w:rFonts w:ascii="Invesco Interstate Light" w:hAnsi="Invesco Interstate Light"/>
          <w:sz w:val="20"/>
          <w:szCs w:val="20"/>
        </w:rPr>
        <w:t xml:space="preserve">Zdroj: </w:t>
      </w:r>
      <w:proofErr w:type="spellStart"/>
      <w:r w:rsidRPr="00A30037">
        <w:rPr>
          <w:rFonts w:ascii="Invesco Interstate Light" w:hAnsi="Invesco Interstate Light"/>
          <w:sz w:val="20"/>
          <w:szCs w:val="20"/>
        </w:rPr>
        <w:t>Invesco</w:t>
      </w:r>
      <w:proofErr w:type="spellEnd"/>
      <w:r w:rsidRPr="00A30037">
        <w:rPr>
          <w:rFonts w:ascii="Invesco Interstate Light" w:hAnsi="Invesco Interstate Light"/>
          <w:sz w:val="20"/>
          <w:szCs w:val="20"/>
        </w:rPr>
        <w:t xml:space="preserve"> </w:t>
      </w:r>
    </w:p>
    <w:p w14:paraId="0681A817" w14:textId="77777777" w:rsidR="00AE597C" w:rsidRDefault="00AE597C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51CAA78E" w14:textId="74A090FA" w:rsidR="00A30037" w:rsidRDefault="00A30037" w:rsidP="00F81FAF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  <w:r>
        <w:rPr>
          <w:rFonts w:ascii="Invesco Interstate Light" w:hAnsi="Invesco Interstate Light"/>
          <w:b/>
          <w:bCs/>
          <w:noProof/>
          <w:sz w:val="22"/>
          <w:szCs w:val="22"/>
        </w:rPr>
        <w:lastRenderedPageBreak/>
        <w:drawing>
          <wp:inline distT="0" distB="0" distL="0" distR="0" wp14:anchorId="4EE6AF0C" wp14:editId="12CF65BA">
            <wp:extent cx="6108065" cy="3265170"/>
            <wp:effectExtent l="0" t="0" r="6985" b="0"/>
            <wp:docPr id="106864022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40221" name="Obrázek 10686402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065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665BF" w14:textId="254CBDF9" w:rsidR="00A30037" w:rsidRPr="00A30037" w:rsidRDefault="00A30037" w:rsidP="00F81FAF">
      <w:pPr>
        <w:spacing w:line="360" w:lineRule="auto"/>
        <w:jc w:val="both"/>
        <w:rPr>
          <w:rFonts w:ascii="Invesco Interstate Light" w:hAnsi="Invesco Interstate Light"/>
          <w:sz w:val="20"/>
          <w:szCs w:val="20"/>
        </w:rPr>
      </w:pPr>
      <w:r w:rsidRPr="00A30037">
        <w:rPr>
          <w:rFonts w:ascii="Invesco Interstate Light" w:hAnsi="Invesco Interstate Light"/>
          <w:sz w:val="20"/>
          <w:szCs w:val="20"/>
        </w:rPr>
        <w:t xml:space="preserve">Zdroj: </w:t>
      </w:r>
      <w:proofErr w:type="spellStart"/>
      <w:r w:rsidRPr="00A30037">
        <w:rPr>
          <w:rFonts w:ascii="Invesco Interstate Light" w:hAnsi="Invesco Interstate Light"/>
          <w:sz w:val="20"/>
          <w:szCs w:val="20"/>
        </w:rPr>
        <w:t>Invesco</w:t>
      </w:r>
      <w:proofErr w:type="spellEnd"/>
      <w:r w:rsidRPr="00A30037">
        <w:rPr>
          <w:rFonts w:ascii="Invesco Interstate Light" w:hAnsi="Invesco Interstate Light"/>
          <w:sz w:val="20"/>
          <w:szCs w:val="20"/>
        </w:rPr>
        <w:t xml:space="preserve"> </w:t>
      </w:r>
    </w:p>
    <w:p w14:paraId="1CE8D2A7" w14:textId="77777777" w:rsidR="00D67D74" w:rsidRDefault="00D67D74" w:rsidP="00263C5E">
      <w:pPr>
        <w:spacing w:line="360" w:lineRule="auto"/>
        <w:jc w:val="both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35CD37F7" w:rsidR="00497B07" w:rsidRPr="00B96402" w:rsidRDefault="4E481D2D" w:rsidP="00263C5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val="de-DE"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Valentin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Jakubow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lastRenderedPageBreak/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4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5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9C2B" w14:textId="77777777" w:rsidR="007B4361" w:rsidRDefault="007B4361">
      <w:r>
        <w:separator/>
      </w:r>
    </w:p>
  </w:endnote>
  <w:endnote w:type="continuationSeparator" w:id="0">
    <w:p w14:paraId="7EDA1728" w14:textId="77777777" w:rsidR="007B4361" w:rsidRDefault="007B4361">
      <w:r>
        <w:continuationSeparator/>
      </w:r>
    </w:p>
  </w:endnote>
  <w:endnote w:type="continuationNotice" w:id="1">
    <w:p w14:paraId="0528D36F" w14:textId="77777777" w:rsidR="007B4361" w:rsidRDefault="007B43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D508" w14:textId="77777777" w:rsidR="007B4361" w:rsidRDefault="007B4361">
      <w:r>
        <w:separator/>
      </w:r>
    </w:p>
  </w:footnote>
  <w:footnote w:type="continuationSeparator" w:id="0">
    <w:p w14:paraId="394BC06F" w14:textId="77777777" w:rsidR="007B4361" w:rsidRDefault="007B4361">
      <w:r>
        <w:continuationSeparator/>
      </w:r>
    </w:p>
  </w:footnote>
  <w:footnote w:type="continuationNotice" w:id="1">
    <w:p w14:paraId="7BF56540" w14:textId="77777777" w:rsidR="007B4361" w:rsidRDefault="007B43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50A699F4" w:rsidR="00702C33" w:rsidRPr="000730A6" w:rsidRDefault="00F81FAF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D6017A">
      <w:rPr>
        <w:color w:val="000000"/>
        <w:sz w:val="28"/>
        <w:szCs w:val="28"/>
      </w:rPr>
      <w:t>5</w:t>
    </w:r>
    <w:r w:rsidR="0083625E">
      <w:rPr>
        <w:color w:val="000000"/>
        <w:sz w:val="28"/>
        <w:szCs w:val="28"/>
      </w:rPr>
      <w:t>.</w:t>
    </w:r>
    <w:r>
      <w:rPr>
        <w:color w:val="000000"/>
        <w:sz w:val="28"/>
        <w:szCs w:val="28"/>
      </w:rPr>
      <w:t>6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3D67B0">
      <w:rPr>
        <w:color w:val="000000"/>
        <w:sz w:val="28"/>
        <w:szCs w:val="28"/>
      </w:rPr>
      <w:t>6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80D39"/>
    <w:multiLevelType w:val="multilevel"/>
    <w:tmpl w:val="CB145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5380B"/>
    <w:multiLevelType w:val="multilevel"/>
    <w:tmpl w:val="11820CCE"/>
    <w:numStyleLink w:val="FormatvorlageAufgezhlt"/>
  </w:abstractNum>
  <w:abstractNum w:abstractNumId="36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5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1"/>
  </w:num>
  <w:num w:numId="14" w16cid:durableId="2009676695">
    <w:abstractNumId w:val="42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9"/>
  </w:num>
  <w:num w:numId="21" w16cid:durableId="225343112">
    <w:abstractNumId w:val="37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40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6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8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4"/>
  </w:num>
  <w:num w:numId="43" w16cid:durableId="6518356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38A9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4A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3283"/>
    <w:rsid w:val="000D3FCA"/>
    <w:rsid w:val="000D442D"/>
    <w:rsid w:val="000D4614"/>
    <w:rsid w:val="000D4A9F"/>
    <w:rsid w:val="000D54B1"/>
    <w:rsid w:val="000D54BF"/>
    <w:rsid w:val="000D5865"/>
    <w:rsid w:val="000D5B26"/>
    <w:rsid w:val="000D60B1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6FA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44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359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7B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688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3C5E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BAB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2B8D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446C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1E62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15AC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67B0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590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0D8"/>
    <w:rsid w:val="004B4A33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25E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5803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16CC8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0CB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063C"/>
    <w:rsid w:val="006A200C"/>
    <w:rsid w:val="006A27C8"/>
    <w:rsid w:val="006A2FA3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019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927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361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143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E7956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22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8DA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C35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61C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9AB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5F2C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037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0614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1D69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B81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33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97C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38D7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402"/>
    <w:rsid w:val="00B973D7"/>
    <w:rsid w:val="00B97B75"/>
    <w:rsid w:val="00B97D67"/>
    <w:rsid w:val="00BA0C1E"/>
    <w:rsid w:val="00BA0FFB"/>
    <w:rsid w:val="00BA2966"/>
    <w:rsid w:val="00BA3582"/>
    <w:rsid w:val="00BA38D5"/>
    <w:rsid w:val="00BA42A0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59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27D35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4089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65B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A7E1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C6A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27656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2D2"/>
    <w:rsid w:val="00D5484B"/>
    <w:rsid w:val="00D55031"/>
    <w:rsid w:val="00D56654"/>
    <w:rsid w:val="00D56709"/>
    <w:rsid w:val="00D60133"/>
    <w:rsid w:val="00D6017A"/>
    <w:rsid w:val="00D60C5E"/>
    <w:rsid w:val="00D61CF1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67D74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E48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1428"/>
    <w:rsid w:val="00DD2556"/>
    <w:rsid w:val="00DD2CDE"/>
    <w:rsid w:val="00DD3327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1F6E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4967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77E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1FAF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0868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F4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liska.krohova@crest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Jana Bělochová | CrestCommunications a.s.</cp:lastModifiedBy>
  <cp:revision>3</cp:revision>
  <cp:lastPrinted>2021-02-17T20:24:00Z</cp:lastPrinted>
  <dcterms:created xsi:type="dcterms:W3CDTF">2026-06-15T07:38:00Z</dcterms:created>
  <dcterms:modified xsi:type="dcterms:W3CDTF">2026-06-15T07:38:00Z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